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20A79080" w:rsidR="00C9274C" w:rsidRPr="00875E4C" w:rsidRDefault="00BE0F97" w:rsidP="00BE0F97">
      <w:pPr>
        <w:pBdr>
          <w:bottom w:val="single" w:sz="12" w:space="1" w:color="auto"/>
        </w:pBdr>
        <w:tabs>
          <w:tab w:val="center" w:pos="4677"/>
          <w:tab w:val="left" w:pos="7767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</w:t>
      </w:r>
      <w:r w:rsidR="005028B8">
        <w:rPr>
          <w:b/>
          <w:sz w:val="40"/>
          <w:szCs w:val="40"/>
        </w:rPr>
        <w:t>Т</w:t>
      </w:r>
      <w:r w:rsidR="005028B8" w:rsidRPr="00875E4C">
        <w:rPr>
          <w:b/>
          <w:sz w:val="40"/>
          <w:szCs w:val="40"/>
        </w:rPr>
        <w:t>омская область</w:t>
      </w:r>
      <w:r>
        <w:rPr>
          <w:b/>
          <w:sz w:val="40"/>
          <w:szCs w:val="40"/>
        </w:rPr>
        <w:t xml:space="preserve">              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2A65F738" w14:textId="718DC13D" w:rsidR="00987219" w:rsidRDefault="00567740" w:rsidP="00C9274C">
      <w:pPr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C9274C" w:rsidRPr="00875E4C">
        <w:rPr>
          <w:sz w:val="28"/>
          <w:szCs w:val="28"/>
        </w:rPr>
        <w:t xml:space="preserve"> </w:t>
      </w:r>
      <w:r w:rsidR="00C9274C">
        <w:rPr>
          <w:sz w:val="28"/>
          <w:szCs w:val="28"/>
        </w:rPr>
        <w:t xml:space="preserve">                             </w:t>
      </w:r>
      <w:r w:rsidR="00C9274C" w:rsidRPr="00875E4C">
        <w:rPr>
          <w:sz w:val="28"/>
          <w:szCs w:val="28"/>
        </w:rPr>
        <w:t xml:space="preserve">с. Первомайское                                   </w:t>
      </w:r>
      <w:r w:rsidR="000B200A">
        <w:rPr>
          <w:sz w:val="28"/>
          <w:szCs w:val="28"/>
        </w:rPr>
        <w:t xml:space="preserve">         №</w:t>
      </w:r>
      <w:r w:rsidR="00C744B9">
        <w:rPr>
          <w:sz w:val="28"/>
          <w:szCs w:val="28"/>
        </w:rPr>
        <w:t>59</w:t>
      </w:r>
    </w:p>
    <w:p w14:paraId="5B706612" w14:textId="77777777" w:rsidR="00567740" w:rsidRPr="00875E4C" w:rsidRDefault="00567740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31429322"/>
      <w:r w:rsidRPr="00875E4C">
        <w:rPr>
          <w:sz w:val="28"/>
          <w:szCs w:val="28"/>
          <w:lang w:eastAsia="ar-SA"/>
        </w:rPr>
        <w:t xml:space="preserve">О передаче </w:t>
      </w:r>
      <w:bookmarkStart w:id="1" w:name="_Hlk143003725"/>
      <w:r w:rsidRPr="00875E4C">
        <w:rPr>
          <w:sz w:val="28"/>
          <w:szCs w:val="28"/>
          <w:lang w:eastAsia="ar-SA"/>
        </w:rPr>
        <w:t>осуществления полномочий органов местного самоуправления</w:t>
      </w:r>
    </w:p>
    <w:p w14:paraId="0871AD11" w14:textId="55EAA19B" w:rsidR="00C9274C" w:rsidRPr="00875E4C" w:rsidRDefault="00C9274C" w:rsidP="00EC3554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муниципального образования Первомайское сельское поселение по решению вопросов местного значения</w:t>
      </w:r>
      <w:r w:rsidR="00987219">
        <w:rPr>
          <w:sz w:val="28"/>
          <w:szCs w:val="28"/>
          <w:lang w:eastAsia="ar-SA"/>
        </w:rPr>
        <w:t xml:space="preserve"> по владению земельными долями, расположенными по адресу: Томская область, Первомайский район ,  </w:t>
      </w:r>
      <w:bookmarkEnd w:id="0"/>
      <w:bookmarkEnd w:id="1"/>
      <w:r w:rsidR="00EC3554">
        <w:rPr>
          <w:sz w:val="28"/>
          <w:szCs w:val="28"/>
          <w:lang w:eastAsia="ar-SA"/>
        </w:rPr>
        <w:t>АФ «Чулым», 5,5 км на северо-восток по трассе с.Первомайское – п.Орехово, в части подготовки проектов межевания и проведения кадастровых работ</w:t>
      </w:r>
      <w:r w:rsidR="00EC3554">
        <w:rPr>
          <w:sz w:val="28"/>
          <w:szCs w:val="28"/>
          <w:lang w:eastAsia="ar-SA"/>
        </w:rPr>
        <w:t>»</w:t>
      </w:r>
    </w:p>
    <w:p w14:paraId="0C0911FD" w14:textId="4F9DAEE0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Главу Первомайского сельского поселения </w:t>
      </w:r>
      <w:r w:rsidRPr="00875E4C">
        <w:rPr>
          <w:sz w:val="28"/>
          <w:szCs w:val="28"/>
          <w:lang w:eastAsia="ar-SA"/>
        </w:rPr>
        <w:t>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2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2"/>
    </w:p>
    <w:p w14:paraId="6F9AD151" w14:textId="77777777" w:rsidR="004B39A9" w:rsidRPr="00875E4C" w:rsidRDefault="004B39A9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</w:p>
    <w:p w14:paraId="605AC30F" w14:textId="37D1402F" w:rsidR="0000422E" w:rsidRDefault="00C9274C" w:rsidP="00E21DF1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на 202</w:t>
      </w:r>
      <w:r w:rsidR="00EC3554"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 год полномочия по решению </w:t>
      </w:r>
      <w:r w:rsidR="004B39A9" w:rsidRPr="00875E4C">
        <w:rPr>
          <w:sz w:val="28"/>
          <w:szCs w:val="28"/>
          <w:lang w:eastAsia="ar-SA"/>
        </w:rPr>
        <w:t>вопросов местного значения</w:t>
      </w:r>
      <w:r w:rsidR="004B39A9">
        <w:rPr>
          <w:sz w:val="28"/>
          <w:szCs w:val="28"/>
          <w:lang w:eastAsia="ar-SA"/>
        </w:rPr>
        <w:t xml:space="preserve"> по владению земельными долями, расположенными по адресу: Томская область, Первомайский район ,  АФ «Чулым», 5,5 км на северо-восток по трассе с.Первомайское – п.Орехово, в части подготовки проектов межевания и проведения кадастровых работ</w:t>
      </w:r>
      <w:r w:rsidR="00996ACE">
        <w:rPr>
          <w:sz w:val="28"/>
          <w:szCs w:val="28"/>
          <w:lang w:eastAsia="ar-SA"/>
        </w:rPr>
        <w:t xml:space="preserve">, </w:t>
      </w:r>
      <w:r w:rsidR="0000422E" w:rsidRPr="00875E4C">
        <w:rPr>
          <w:sz w:val="28"/>
          <w:szCs w:val="28"/>
          <w:lang w:eastAsia="ar-SA"/>
        </w:rPr>
        <w:t>в связи с реализацией</w:t>
      </w:r>
      <w:r w:rsidR="0000422E">
        <w:rPr>
          <w:sz w:val="28"/>
          <w:szCs w:val="28"/>
          <w:lang w:eastAsia="ar-SA"/>
        </w:rPr>
        <w:t xml:space="preserve"> </w:t>
      </w:r>
      <w:r w:rsidR="004B39A9">
        <w:rPr>
          <w:sz w:val="28"/>
          <w:szCs w:val="28"/>
          <w:lang w:eastAsia="ar-SA"/>
        </w:rPr>
        <w:t>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</w:r>
      <w:r w:rsidRPr="00875E4C">
        <w:rPr>
          <w:sz w:val="28"/>
          <w:szCs w:val="28"/>
          <w:lang w:eastAsia="ar-SA"/>
        </w:rPr>
        <w:tab/>
      </w:r>
    </w:p>
    <w:p w14:paraId="2CD728F0" w14:textId="1467775C" w:rsidR="00C9274C" w:rsidRPr="00875E4C" w:rsidRDefault="00C9274C" w:rsidP="0000422E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lastRenderedPageBreak/>
        <w:t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6A26CAA0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4.Настоящее решение вступает в силу с даты подписания и действует </w:t>
      </w:r>
      <w:r w:rsidR="00567740">
        <w:rPr>
          <w:sz w:val="28"/>
          <w:szCs w:val="28"/>
          <w:lang w:eastAsia="ar-SA"/>
        </w:rPr>
        <w:t xml:space="preserve">с 01.01.2024 </w:t>
      </w:r>
      <w:r w:rsidRPr="00875E4C">
        <w:rPr>
          <w:sz w:val="28"/>
          <w:szCs w:val="28"/>
          <w:lang w:eastAsia="ar-SA"/>
        </w:rPr>
        <w:t>до 31.12.202</w:t>
      </w:r>
      <w:r w:rsidR="00567740"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7F534971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5.Контроль за исполнением данного решения возложить на Главу  Первомайского сельского поселения С.И. Ланского.</w:t>
      </w:r>
    </w:p>
    <w:p w14:paraId="39356FE8" w14:textId="77777777" w:rsidR="00C9274C" w:rsidRPr="00875E4C" w:rsidRDefault="00C9274C" w:rsidP="00A65D48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Председатель Совета                                                                         С.И. Ланский</w:t>
      </w:r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3D466" w14:textId="6E381C54" w:rsidR="006C2D7F" w:rsidRDefault="006C2D7F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2543A432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C744B9">
        <w:rPr>
          <w:bCs/>
          <w:spacing w:val="7"/>
          <w:sz w:val="24"/>
          <w:szCs w:val="24"/>
        </w:rPr>
        <w:t>59</w:t>
      </w:r>
      <w:r w:rsidR="00567740">
        <w:rPr>
          <w:bCs/>
          <w:spacing w:val="7"/>
          <w:sz w:val="24"/>
          <w:szCs w:val="24"/>
        </w:rPr>
        <w:t xml:space="preserve"> от 26.12.2023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875E4C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875E4C">
        <w:rPr>
          <w:sz w:val="24"/>
          <w:szCs w:val="24"/>
          <w:lang w:eastAsia="ar-SA"/>
        </w:rPr>
        <w:t>Размер</w:t>
      </w:r>
    </w:p>
    <w:p w14:paraId="3E464127" w14:textId="0A0A2306" w:rsidR="00C9274C" w:rsidRPr="00996ACE" w:rsidRDefault="00C9274C" w:rsidP="00C9274C">
      <w:pPr>
        <w:ind w:firstLine="708"/>
        <w:jc w:val="center"/>
        <w:rPr>
          <w:sz w:val="24"/>
          <w:szCs w:val="24"/>
        </w:rPr>
      </w:pPr>
      <w:r w:rsidRPr="00875E4C">
        <w:rPr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</w:t>
      </w:r>
      <w:r w:rsidR="00CC3913">
        <w:rPr>
          <w:sz w:val="24"/>
          <w:szCs w:val="24"/>
          <w:lang w:eastAsia="ar-SA"/>
        </w:rPr>
        <w:t>»</w:t>
      </w:r>
      <w:r w:rsidRPr="00875E4C">
        <w:rPr>
          <w:sz w:val="24"/>
          <w:szCs w:val="24"/>
          <w:lang w:eastAsia="ar-SA"/>
        </w:rPr>
        <w:t xml:space="preserve"> </w:t>
      </w:r>
      <w:r w:rsidR="00996ACE" w:rsidRPr="00996ACE">
        <w:rPr>
          <w:sz w:val="24"/>
          <w:szCs w:val="24"/>
          <w:lang w:eastAsia="ar-SA"/>
        </w:rPr>
        <w:t>по решению вопросов местного значения по владению земельными долями, расположенными по адресу: Томская область, Первомайский район ,  АФ «Чулым», 5,5 км на северо-восток по трассе с.Первомайское – п.Орехово, в части подготовки проектов межевания и проведения кадастровых работ, в связи с реализацией 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</w:r>
      <w:r w:rsidR="00996ACE" w:rsidRPr="00996ACE">
        <w:rPr>
          <w:sz w:val="24"/>
          <w:szCs w:val="24"/>
          <w:lang w:eastAsia="ar-SA"/>
        </w:rPr>
        <w:tab/>
      </w: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655"/>
        <w:gridCol w:w="3402"/>
        <w:gridCol w:w="3755"/>
      </w:tblGrid>
      <w:tr w:rsidR="00C9274C" w:rsidRPr="00875E4C" w14:paraId="473016BB" w14:textId="77777777" w:rsidTr="00491B69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5D5F83BF" w:rsidR="00C9274C" w:rsidRPr="00875E4C" w:rsidRDefault="00567740" w:rsidP="0056774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="00C9274C"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491B69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491B69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567740">
            <w:pPr>
              <w:tabs>
                <w:tab w:val="left" w:pos="147"/>
                <w:tab w:val="left" w:pos="1281"/>
              </w:tabs>
              <w:suppressAutoHyphens/>
              <w:ind w:left="572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491B69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0679A51A" w:rsidR="006C21D2" w:rsidRPr="006C21D2" w:rsidRDefault="0000422E" w:rsidP="00491B6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</w:t>
            </w:r>
            <w:r w:rsidR="006C21D2">
              <w:rPr>
                <w:sz w:val="24"/>
                <w:szCs w:val="24"/>
                <w:lang w:eastAsia="ar-SA"/>
              </w:rPr>
              <w:t>руб.)</w:t>
            </w:r>
          </w:p>
        </w:tc>
      </w:tr>
      <w:tr w:rsidR="00C9274C" w:rsidRPr="00875E4C" w14:paraId="6582D098" w14:textId="77777777" w:rsidTr="00491B69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491B69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491B69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6A5D" w14:textId="1273C1CF" w:rsidR="00491B69" w:rsidRPr="00996ACE" w:rsidRDefault="00491B69" w:rsidP="00491B69">
            <w:pPr>
              <w:ind w:firstLine="708"/>
              <w:jc w:val="center"/>
              <w:rPr>
                <w:sz w:val="24"/>
                <w:szCs w:val="24"/>
              </w:rPr>
            </w:pPr>
            <w:r w:rsidRPr="00996ACE">
              <w:rPr>
                <w:sz w:val="24"/>
                <w:szCs w:val="24"/>
                <w:lang w:eastAsia="ar-SA"/>
              </w:rPr>
              <w:t>владению земельными долями, расположенными по адресу: Томская область, Первомайский район ,  АФ «Чулым», 5,5 км на северо-восток по трассе с.Первомайское – п.Орехово, в части подготовки проектов межевания и проведения кадастровых работ, в связи с реализацией подпрограммы «Развитие сельскохозяйственного производства в Томской области» государственной программы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№338 «Об утверждении государственной программы «Развитие сельского хозяйства, рынков сырья и продовольствия в Томской области»</w:t>
            </w:r>
          </w:p>
          <w:p w14:paraId="5AC02DFD" w14:textId="405E623C" w:rsidR="00C9274C" w:rsidRPr="00CC3913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6737879A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за счет</w:t>
            </w:r>
            <w:r w:rsidR="003D492B">
              <w:rPr>
                <w:sz w:val="24"/>
                <w:szCs w:val="24"/>
                <w:lang w:eastAsia="ar-SA"/>
              </w:rPr>
              <w:t xml:space="preserve"> </w:t>
            </w:r>
            <w:r w:rsidRPr="00875E4C">
              <w:rPr>
                <w:sz w:val="24"/>
                <w:szCs w:val="24"/>
                <w:lang w:eastAsia="ar-SA"/>
              </w:rPr>
              <w:t>бюджета  муниципального образования Первомайское сельское поселение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E2D1" w14:textId="77777777" w:rsidR="00C927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53E63BEF" w:rsidR="0000422E" w:rsidRPr="0000422E" w:rsidRDefault="00491B69" w:rsidP="0000422E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399,00</w:t>
            </w:r>
          </w:p>
        </w:tc>
      </w:tr>
      <w:tr w:rsidR="00C9274C" w:rsidRPr="00875E4C" w14:paraId="48EF5C9C" w14:textId="77777777" w:rsidTr="00491B69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5D541ABE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491B69">
              <w:rPr>
                <w:sz w:val="24"/>
                <w:szCs w:val="24"/>
                <w:lang w:eastAsia="ar-SA"/>
              </w:rPr>
              <w:t>399,00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0422E"/>
    <w:rsid w:val="000B200A"/>
    <w:rsid w:val="00114941"/>
    <w:rsid w:val="003D492B"/>
    <w:rsid w:val="00491B69"/>
    <w:rsid w:val="004A6A36"/>
    <w:rsid w:val="004B39A9"/>
    <w:rsid w:val="004E7168"/>
    <w:rsid w:val="005028B8"/>
    <w:rsid w:val="00567740"/>
    <w:rsid w:val="006A044C"/>
    <w:rsid w:val="006C21D2"/>
    <w:rsid w:val="006C2D7F"/>
    <w:rsid w:val="00724D90"/>
    <w:rsid w:val="007C302D"/>
    <w:rsid w:val="00987219"/>
    <w:rsid w:val="00996ACE"/>
    <w:rsid w:val="00A65D48"/>
    <w:rsid w:val="00B46BB3"/>
    <w:rsid w:val="00BA0AE0"/>
    <w:rsid w:val="00BE0F97"/>
    <w:rsid w:val="00C744B9"/>
    <w:rsid w:val="00C9274C"/>
    <w:rsid w:val="00CC3913"/>
    <w:rsid w:val="00D91A31"/>
    <w:rsid w:val="00DF6715"/>
    <w:rsid w:val="00E21DF1"/>
    <w:rsid w:val="00E8408D"/>
    <w:rsid w:val="00EC3554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19</cp:revision>
  <cp:lastPrinted>2023-12-26T07:15:00Z</cp:lastPrinted>
  <dcterms:created xsi:type="dcterms:W3CDTF">2022-02-08T03:08:00Z</dcterms:created>
  <dcterms:modified xsi:type="dcterms:W3CDTF">2023-12-27T04:37:00Z</dcterms:modified>
</cp:coreProperties>
</file>